
<file path=[Content_Types].xml><?xml version="1.0" encoding="utf-8"?>
<Types xmlns="http://schemas.openxmlformats.org/package/2006/content-types">
  <Default Extension="bin" ContentType="application/vnd.openxmlformats-officedocument.oleObject"/>
  <Default Extension="xml" ContentType="application/xml"/>
  <Default Extension="rels" ContentType="application/vnd.openxmlformats-package.relationship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4.xml" ContentType="application/vnd.openxmlformats-officedocument.wordprocessingml.header+xml"/>
  <Override PartName="/word/header3.xml" ContentType="application/vnd.openxmlformats-officedocument.wordprocessingml.header+xml"/>
  <Override PartName="/word/footer7.xml" ContentType="application/vnd.openxmlformats-officedocument.wordprocessingml.footer+xml"/>
  <Override PartName="/word/footer6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
<Relationships xmlns="http://schemas.openxmlformats.org/package/2006/relationships"><Relationship Id="rId1" Type="http://schemas.openxmlformats.org/package/2006/relationships/metadata/core-properties" Target="docProps/core.xml"></Relationship><Relationship Id="rId2" Type="http://schemas.openxmlformats.org/officeDocument/2006/relationships/extended-properties" Target="docProps/app.xml"></Relationship><Relationship Id="rId3" Type="http://schemas.openxmlformats.org/officeDocument/2006/relationships/officeDocument" Target="word/document.xml"></Relationship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pi="http://schemas.microsoft.com/office/word/2010/wordprocessingInk">
  <w:body>
    <w:p>
      <w:pPr>
        <w:numPr>
          <w:ilvl w:val="0"/>
          <w:numId w:val="0"/>
        </w:numPr>
        <w:jc w:val="both"/>
        <w:spacing w:lineRule="exact" w:line="440" w:before="0" w:after="160"/>
        <w:ind w:right="0" w:firstLine="0"/>
        <w:rPr>
          <w:color w:val="auto"/>
          <w:position w:val="0"/>
          <w:sz w:val="24"/>
          <w:szCs w:val="24"/>
          <w:rFonts w:ascii="黑体" w:eastAsia="黑体" w:hAnsi="黑体" w:hint="default"/>
        </w:rPr>
        <w:autoSpaceDE w:val="1"/>
        <w:autoSpaceDN w:val="1"/>
      </w:pPr>
      <w:r>
        <w:rPr>
          <w:color w:val="auto"/>
          <w:position w:val="0"/>
          <w:sz w:val="28"/>
          <w:szCs w:val="28"/>
          <w:rFonts w:ascii="Times New Roman" w:eastAsia="Times New Roman" w:hAnsi="Times New Roman" w:hint="default"/>
        </w:rPr>
        <w:t>附件4：</w:t>
      </w:r>
    </w:p>
    <w:p>
      <w:pPr>
        <w:numPr>
          <w:ilvl w:val="0"/>
          <w:numId w:val="0"/>
        </w:numPr>
        <w:jc w:val="center"/>
        <w:spacing w:lineRule="exact" w:line="440" w:before="0" w:after="160"/>
        <w:ind w:right="0" w:firstLine="0"/>
        <w:rPr>
          <w:b w:val="1"/>
          <w:color w:val="auto"/>
          <w:position w:val="0"/>
          <w:sz w:val="32"/>
          <w:szCs w:val="32"/>
          <w:rFonts w:ascii="宋体" w:eastAsia="宋体" w:hAnsi="宋体" w:hint="default"/>
        </w:rPr>
        <w:outlineLvl w:val="0"/>
        <w:autoSpaceDE w:val="1"/>
        <w:autoSpaceDN w:val="1"/>
      </w:pPr>
      <w:r>
        <w:rPr>
          <w:b w:val="1"/>
          <w:color w:val="auto"/>
          <w:position w:val="0"/>
          <w:sz w:val="32"/>
          <w:szCs w:val="32"/>
          <w:rFonts w:ascii="宋体" w:eastAsia="宋体" w:hAnsi="宋体" w:hint="default"/>
        </w:rPr>
        <w:t>2018年研究生入学考试自命题科目考试大纲</w:t>
      </w:r>
    </w:p>
    <w:p>
      <w:pPr>
        <w:numPr>
          <w:ilvl w:val="0"/>
          <w:numId w:val="0"/>
        </w:numPr>
        <w:jc w:val="center"/>
        <w:spacing w:lineRule="exact" w:line="440" w:before="0" w:after="160"/>
        <w:ind w:right="0" w:firstLine="0"/>
        <w:rPr>
          <w:b w:val="1"/>
          <w:color w:val="auto"/>
          <w:position w:val="0"/>
          <w:sz w:val="32"/>
          <w:szCs w:val="32"/>
          <w:rFonts w:ascii="宋体" w:eastAsia="宋体" w:hAnsi="宋体" w:hint="default"/>
        </w:rPr>
        <w:outlineLvl w:val="0"/>
        <w:autoSpaceDE w:val="1"/>
        <w:autoSpaceDN w:val="1"/>
      </w:pPr>
    </w:p>
    <w:p>
      <w:pPr>
        <w:numPr>
          <w:ilvl w:val="0"/>
          <w:numId w:val="0"/>
        </w:numPr>
        <w:jc w:val="both"/>
        <w:spacing w:lineRule="auto" w:line="240" w:before="0" w:after="160"/>
        <w:ind w:right="0" w:firstLine="0"/>
        <w:rPr>
          <w:color w:val="auto"/>
          <w:position w:val="0"/>
          <w:sz w:val="28"/>
          <w:szCs w:val="28"/>
          <w:rFonts w:ascii="宋体" w:eastAsia="Times New Roman" w:hAnsi="Times New Roman" w:hint="default"/>
        </w:rPr>
        <w:snapToGrid w:val="off"/>
        <w:autoSpaceDE w:val="1"/>
        <w:autoSpaceDN w:val="1"/>
      </w:pPr>
      <w:r>
        <w:rPr>
          <w:b w:val="1"/>
          <w:color w:val="auto"/>
          <w:position w:val="0"/>
          <w:sz w:val="24"/>
          <w:szCs w:val="24"/>
          <w:rFonts w:ascii="宋体" w:eastAsia="宋体" w:hAnsi="宋体" w:hint="default"/>
        </w:rPr>
        <w:t xml:space="preserve">考试科目代码：空      考试科目名称: 桥梁工程    </w:t>
      </w:r>
      <w:r>
        <w:rPr>
          <w:b w:val="1"/>
          <w:color w:val="auto"/>
          <w:position w:val="0"/>
          <w:sz w:val="28"/>
          <w:szCs w:val="28"/>
          <w:rFonts w:ascii="宋体" w:eastAsia="宋体" w:hAnsi="宋体" w:hint="default"/>
        </w:rPr>
        <w:t xml:space="preserve">        </w:t>
      </w:r>
    </w:p>
    <w:tbl>
      <w:tblID w:val="0"/>
      <w:tblPr>
        <w:tblStyle w:val="PO37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8" w:type="dxa"/>
          <w:top w:w="0" w:type="dxa"/>
          <w:right w:w="108" w:type="dxa"/>
          <w:bottom w:w="0" w:type="dxa"/>
        </w:tblCellMar>
        <w:tblW w:w="9180" w:type="dxa"/>
        <w:tblInd w:w="-432" w:type="dxa"/>
        <w:tblLook w:val="000000" w:firstRow="0" w:lastRow="0" w:firstColumn="0" w:lastColumn="0" w:noHBand="0" w:noVBand="0"/>
        <w:tblLayout w:type="fixed"/>
      </w:tblPr>
      <w:tblGrid>
        <w:gridCol w:w="9180"/>
      </w:tblGrid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hidden w:val="0"/>
        </w:trPr>
        <w:tc>
          <w:tcPr>
            <w:tcW w:type="dxa" w:w="9180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top"/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160"/>
              <w:ind w:right="0" w:firstLine="0"/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autoSpaceDE w:val="1"/>
              <w:autoSpaceDN w:val="1"/>
            </w:pP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160"/>
              <w:ind w:right="0" w:firstLine="0"/>
              <w:rPr>
                <w:color w:val="auto"/>
                <w:position w:val="0"/>
                <w:sz w:val="24"/>
                <w:szCs w:val="24"/>
                <w:rFonts w:ascii="宋体" w:eastAsia="宋体" w:hAnsi="宋体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宋体" w:eastAsia="宋体" w:hAnsi="宋体" w:hint="default"/>
              </w:rPr>
              <w:t>考试内容范围:</w:t>
            </w:r>
          </w:p>
          <w:p>
            <w:pPr>
              <w:numPr>
                <w:ilvl w:val="0"/>
                <w:numId w:val="0"/>
              </w:numPr>
              <w:jc w:val="left"/>
              <w:spacing w:lineRule="exact" w:line="38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第一篇 总论</w:t>
            </w:r>
          </w:p>
          <w:p>
            <w:pPr>
              <w:numPr>
                <w:ilvl w:val="0"/>
                <w:numId w:val="0"/>
              </w:numPr>
              <w:jc w:val="left"/>
              <w:spacing w:lineRule="exact" w:line="38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1、要求考生掌握桥梁结构的分类；</w:t>
            </w:r>
          </w:p>
          <w:p>
            <w:pPr>
              <w:numPr>
                <w:ilvl w:val="0"/>
                <w:numId w:val="0"/>
              </w:numPr>
              <w:jc w:val="left"/>
              <w:spacing w:lineRule="exact" w:line="38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2、要求考生理解桥梁总体规划与设计程序；</w:t>
            </w:r>
          </w:p>
          <w:p>
            <w:pPr>
              <w:numPr>
                <w:ilvl w:val="0"/>
                <w:numId w:val="0"/>
              </w:numPr>
              <w:jc w:val="left"/>
              <w:spacing w:lineRule="exact" w:line="38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3、要求考生熟练掌握桥梁的组成及桥梁的相关概念</w:t>
            </w:r>
          </w:p>
          <w:p>
            <w:pPr>
              <w:numPr>
                <w:ilvl w:val="0"/>
                <w:numId w:val="0"/>
              </w:numPr>
              <w:jc w:val="left"/>
              <w:spacing w:lineRule="exact" w:line="38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4、要求考生熟练掌握桥梁的作用及其组合。</w:t>
            </w:r>
          </w:p>
          <w:p>
            <w:pPr>
              <w:numPr>
                <w:ilvl w:val="0"/>
                <w:numId w:val="0"/>
              </w:numPr>
              <w:jc w:val="left"/>
              <w:spacing w:lineRule="exact" w:line="38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</w:p>
          <w:p>
            <w:pPr>
              <w:numPr>
                <w:ilvl w:val="0"/>
                <w:numId w:val="0"/>
              </w:numPr>
              <w:jc w:val="left"/>
              <w:spacing w:lineRule="exact" w:line="38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第二篇 钢筋混凝土和预应力混凝土简支梁桥</w:t>
            </w:r>
          </w:p>
          <w:p>
            <w:pPr>
              <w:numPr>
                <w:ilvl w:val="0"/>
                <w:numId w:val="0"/>
              </w:numPr>
              <w:jc w:val="left"/>
              <w:spacing w:lineRule="exact" w:line="38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1、要求考生理解桥面铺装的类型，掌握各类桥面铺装的优缺点和适用情况；</w:t>
            </w:r>
          </w:p>
          <w:p>
            <w:pPr>
              <w:numPr>
                <w:ilvl w:val="0"/>
                <w:numId w:val="0"/>
              </w:numPr>
              <w:jc w:val="left"/>
              <w:spacing w:lineRule="exact" w:line="38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2、要求考生掌握桥面横坡的设置方法，理解人行道、栏杆、护栏的有关规定与构造；</w:t>
            </w:r>
          </w:p>
          <w:p>
            <w:pPr>
              <w:numPr>
                <w:ilvl w:val="0"/>
                <w:numId w:val="0"/>
              </w:numPr>
              <w:jc w:val="left"/>
              <w:spacing w:lineRule="exact" w:line="38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3、要求考生掌握伸缩缝的类型与性能，熟练掌握伸缩缝伸缩量的计算；</w:t>
            </w:r>
          </w:p>
          <w:p>
            <w:pPr>
              <w:numPr>
                <w:ilvl w:val="0"/>
                <w:numId w:val="0"/>
              </w:numPr>
              <w:jc w:val="left"/>
              <w:spacing w:lineRule="exact" w:line="38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4、要求考生理解桥面防水与排水系统；</w:t>
            </w:r>
          </w:p>
          <w:p>
            <w:pPr>
              <w:numPr>
                <w:ilvl w:val="0"/>
                <w:numId w:val="0"/>
              </w:numPr>
              <w:jc w:val="left"/>
              <w:spacing w:lineRule="exact" w:line="38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5、要求考生掌握简支整体式板桥的受力与构造特点，理解简支整体式斜板桥的受力与构造特点；</w:t>
            </w:r>
          </w:p>
          <w:p>
            <w:pPr>
              <w:numPr>
                <w:ilvl w:val="0"/>
                <w:numId w:val="0"/>
              </w:numPr>
              <w:jc w:val="left"/>
              <w:spacing w:lineRule="exact" w:line="38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6、要求考生理解装配式简支梁桥的设计与构造特点，掌握常见装配式简支梁桥的构造类型、截面形</w:t>
            </w: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式及块件的划分方式；</w:t>
            </w:r>
          </w:p>
          <w:p>
            <w:pPr>
              <w:numPr>
                <w:ilvl w:val="0"/>
                <w:numId w:val="0"/>
              </w:numPr>
              <w:jc w:val="left"/>
              <w:spacing w:lineRule="exact" w:line="38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7、要求考生理解装配式钢筋混凝土简支梁桥的构造布置要求、对应截面尺寸特点、装配式主梁的连</w:t>
            </w: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接构造；</w:t>
            </w:r>
          </w:p>
          <w:p>
            <w:pPr>
              <w:numPr>
                <w:ilvl w:val="0"/>
                <w:numId w:val="0"/>
              </w:numPr>
              <w:jc w:val="left"/>
              <w:spacing w:lineRule="exact" w:line="38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8、要求考生理解装配式预应力混凝土简支梁桥的构造布置要求、对应截面尺寸特点；</w:t>
            </w:r>
          </w:p>
          <w:p>
            <w:pPr>
              <w:numPr>
                <w:ilvl w:val="0"/>
                <w:numId w:val="0"/>
              </w:numPr>
              <w:jc w:val="left"/>
              <w:spacing w:lineRule="exact" w:line="38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9、要求考生了解公路桥梁荷载横向分布系数的各种计算方法，熟练掌握杠杆法、偏心压力法、偏心</w:t>
            </w: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压力修正法、铰接板法的基本假定、适用范围、公式推导、计算方法与步骤；理解横梁内力计算方</w:t>
            </w: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法及G.M法、铰接梁法、刚接梁法的计算方法；</w:t>
            </w:r>
          </w:p>
          <w:p>
            <w:pPr>
              <w:numPr>
                <w:ilvl w:val="0"/>
                <w:numId w:val="0"/>
              </w:numPr>
              <w:jc w:val="left"/>
              <w:spacing w:lineRule="exact" w:line="38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10、要求考生掌握行车道板的分类、车轮荷载在行车道板上的分布、多跨连续单项板内力计算、铰</w:t>
            </w: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接悬臂板内力计算和悬臂板内力计算；</w:t>
            </w:r>
          </w:p>
          <w:p>
            <w:pPr>
              <w:numPr>
                <w:ilvl w:val="0"/>
                <w:numId w:val="0"/>
              </w:numPr>
              <w:jc w:val="left"/>
              <w:spacing w:lineRule="exact" w:line="38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11、要求考生掌握主梁内力的计算方法、作用效应组合，挠度计算；</w:t>
            </w:r>
          </w:p>
          <w:p>
            <w:pPr>
              <w:numPr>
                <w:ilvl w:val="0"/>
                <w:numId w:val="0"/>
              </w:numPr>
              <w:jc w:val="left"/>
              <w:spacing w:lineRule="exact" w:line="38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12、要求考生了解公路桥梁常用支座的类型，球形钢支座、减震支座及拉压支座的基本构造；掌握</w:t>
            </w: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支座的布置原则，板式橡胶支座的构造、工作原理，聚四氟乙烯支座的构造、盆式橡胶支座的构造</w:t>
            </w: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；熟练掌握板式橡胶支座的设计计算内容、方法；</w:t>
            </w:r>
          </w:p>
          <w:p>
            <w:pPr>
              <w:numPr>
                <w:ilvl w:val="0"/>
                <w:numId w:val="0"/>
              </w:numPr>
              <w:jc w:val="left"/>
              <w:spacing w:lineRule="exact" w:line="38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宋体" w:eastAsia="宋体" w:hAnsi="宋体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13、要求考生了解公路桥梁常用的施工方法；理解悬臂施工法的施工工艺；掌握钢筋砼简支梁桥的</w:t>
            </w: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制造、运输工艺</w:t>
            </w:r>
            <w:r>
              <w:rPr>
                <w:color w:val="auto"/>
                <w:position w:val="0"/>
                <w:sz w:val="21"/>
                <w:szCs w:val="21"/>
                <w:rFonts w:ascii="宋体" w:eastAsia="宋体" w:hAnsi="宋体" w:hint="default"/>
              </w:rPr>
              <w:t>。</w:t>
            </w:r>
          </w:p>
          <w:p>
            <w:pPr>
              <w:numPr>
                <w:ilvl w:val="0"/>
                <w:numId w:val="0"/>
              </w:numPr>
              <w:jc w:val="left"/>
              <w:spacing w:lineRule="exact" w:line="38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</w:p>
          <w:p>
            <w:pPr>
              <w:numPr>
                <w:ilvl w:val="0"/>
                <w:numId w:val="0"/>
              </w:numPr>
              <w:jc w:val="left"/>
              <w:spacing w:lineRule="exact" w:line="38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</w:p>
          <w:p>
            <w:pPr>
              <w:numPr>
                <w:ilvl w:val="0"/>
                <w:numId w:val="0"/>
              </w:numPr>
              <w:jc w:val="left"/>
              <w:spacing w:lineRule="exact" w:line="38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第三篇 悬臂与连续体系梁桥</w:t>
            </w:r>
          </w:p>
          <w:p>
            <w:pPr>
              <w:numPr>
                <w:ilvl w:val="0"/>
                <w:numId w:val="0"/>
              </w:numPr>
              <w:jc w:val="left"/>
              <w:spacing w:lineRule="exact" w:line="38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1、要求考生理解悬臂与连续体系梁桥结构的恒载内力计算；</w:t>
            </w:r>
          </w:p>
          <w:p>
            <w:pPr>
              <w:numPr>
                <w:ilvl w:val="0"/>
                <w:numId w:val="0"/>
              </w:numPr>
              <w:jc w:val="left"/>
              <w:spacing w:lineRule="exact" w:line="38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2、要求考生理解悬臂与连续体系梁桥结构的活载内力计算；</w:t>
            </w:r>
          </w:p>
          <w:p>
            <w:pPr>
              <w:numPr>
                <w:ilvl w:val="0"/>
                <w:numId w:val="0"/>
              </w:numPr>
              <w:jc w:val="left"/>
              <w:spacing w:lineRule="exact" w:line="38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3、要求考生了解悬臂与连续体系梁桥结构由混凝土徐变、收缩，基础沉降、温度等因素引起结构次</w:t>
            </w: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内力的计算；</w:t>
            </w:r>
          </w:p>
          <w:p>
            <w:pPr>
              <w:numPr>
                <w:ilvl w:val="0"/>
                <w:numId w:val="0"/>
              </w:numPr>
              <w:jc w:val="left"/>
              <w:spacing w:lineRule="exact" w:line="38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</w:p>
          <w:p>
            <w:pPr>
              <w:numPr>
                <w:ilvl w:val="0"/>
                <w:numId w:val="0"/>
              </w:numPr>
              <w:jc w:val="left"/>
              <w:spacing w:lineRule="exact" w:line="38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混凝土拱桥</w:t>
            </w:r>
          </w:p>
          <w:p>
            <w:pPr>
              <w:numPr>
                <w:ilvl w:val="0"/>
                <w:numId w:val="0"/>
              </w:numPr>
              <w:jc w:val="left"/>
              <w:spacing w:lineRule="exact" w:line="38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1、要求考生了解圬工和钢筋混凝土拱桥的分类、中下承式拱桥的构造与计算要点、连拱的概念、受</w:t>
            </w: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力特点、简化计算思路及计算要点；</w:t>
            </w:r>
          </w:p>
          <w:p>
            <w:pPr>
              <w:numPr>
                <w:ilvl w:val="0"/>
                <w:numId w:val="0"/>
              </w:numPr>
              <w:jc w:val="left"/>
              <w:spacing w:lineRule="exact" w:line="38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2、要求考生理解拱桥的构造、总体设计的内容；</w:t>
            </w:r>
          </w:p>
          <w:p>
            <w:pPr>
              <w:numPr>
                <w:ilvl w:val="0"/>
                <w:numId w:val="0"/>
              </w:numPr>
              <w:jc w:val="left"/>
              <w:spacing w:lineRule="exact" w:line="38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3、要求考生掌握圆弧拱的计算、拱桥有支架施工、拱圈尺寸拟定、悬链线无铰拱的计算理论；</w:t>
            </w:r>
          </w:p>
          <w:p>
            <w:pPr>
              <w:numPr>
                <w:ilvl w:val="0"/>
                <w:numId w:val="0"/>
              </w:numPr>
              <w:jc w:val="left"/>
              <w:spacing w:lineRule="exact" w:line="38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4、要求考生熟练掌握拱桥主要设计标高的确定、拱圈尺寸拟定、拱桥恒载内力计算、活载内力计算</w:t>
            </w: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的手册方法、拱圈强度及稳定性验算、预拱度的计算及预拱度的设置方法；</w:t>
            </w:r>
          </w:p>
          <w:p>
            <w:pPr>
              <w:numPr>
                <w:ilvl w:val="0"/>
                <w:numId w:val="0"/>
              </w:numPr>
              <w:jc w:val="left"/>
              <w:spacing w:lineRule="exact" w:line="38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5、要求考生理解由温度变化、混凝土收缩徐变及拱脚变位的内力计算方法；</w:t>
            </w:r>
          </w:p>
          <w:p>
            <w:pPr>
              <w:numPr>
                <w:ilvl w:val="0"/>
                <w:numId w:val="0"/>
              </w:numPr>
              <w:jc w:val="left"/>
              <w:spacing w:lineRule="exact" w:line="38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</w:p>
          <w:p>
            <w:pPr>
              <w:numPr>
                <w:ilvl w:val="0"/>
                <w:numId w:val="0"/>
              </w:numPr>
              <w:jc w:val="left"/>
              <w:spacing w:lineRule="exact" w:line="38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第五篇 缆索承重体系桥梁</w:t>
            </w:r>
          </w:p>
          <w:p>
            <w:pPr>
              <w:numPr>
                <w:ilvl w:val="0"/>
                <w:numId w:val="0"/>
              </w:numPr>
              <w:jc w:val="left"/>
              <w:spacing w:lineRule="exact" w:line="38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1、要求考生了解悬索桥与斜拉桥的分类、构造、使用范围；</w:t>
            </w:r>
          </w:p>
          <w:p>
            <w:pPr>
              <w:numPr>
                <w:ilvl w:val="0"/>
                <w:numId w:val="0"/>
              </w:numPr>
              <w:jc w:val="left"/>
              <w:spacing w:lineRule="exact" w:line="38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2、要求考生理解悬索桥与斜拉桥的分类与构造要点；</w:t>
            </w:r>
          </w:p>
          <w:p>
            <w:pPr>
              <w:numPr>
                <w:ilvl w:val="0"/>
                <w:numId w:val="0"/>
              </w:numPr>
              <w:jc w:val="left"/>
              <w:spacing w:lineRule="exact" w:line="38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</w:p>
          <w:p>
            <w:pPr>
              <w:numPr>
                <w:ilvl w:val="0"/>
                <w:numId w:val="0"/>
              </w:numPr>
              <w:jc w:val="left"/>
              <w:spacing w:lineRule="exact" w:line="38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第六篇 桥梁墩台</w:t>
            </w:r>
          </w:p>
          <w:p>
            <w:pPr>
              <w:numPr>
                <w:ilvl w:val="0"/>
                <w:numId w:val="0"/>
              </w:numPr>
              <w:jc w:val="left"/>
              <w:spacing w:lineRule="exact" w:line="38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1、要求考生了解桥梁墩台的分类、构造、使用范围；</w:t>
            </w:r>
          </w:p>
          <w:p>
            <w:pPr>
              <w:numPr>
                <w:ilvl w:val="0"/>
                <w:numId w:val="0"/>
              </w:numPr>
              <w:jc w:val="left"/>
              <w:spacing w:lineRule="exact" w:line="38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2、要求考生掌握桥梁墩、台的作用及作用组合；</w:t>
            </w:r>
          </w:p>
          <w:p>
            <w:pPr>
              <w:numPr>
                <w:ilvl w:val="0"/>
                <w:numId w:val="0"/>
              </w:numPr>
              <w:jc w:val="left"/>
              <w:spacing w:lineRule="exact" w:line="38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宋体" w:eastAsia="宋体" w:hAnsi="宋体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3、要求考生理解桩柱式桥墩及盖梁的</w:t>
            </w:r>
            <w:r>
              <w:rPr>
                <w:color w:val="auto"/>
                <w:position w:val="0"/>
                <w:sz w:val="21"/>
                <w:szCs w:val="21"/>
                <w:rFonts w:ascii="宋体" w:eastAsia="宋体" w:hAnsi="宋体" w:hint="default"/>
              </w:rPr>
              <w:t>计算要点、常见墩台的构造；</w:t>
            </w:r>
          </w:p>
          <w:p>
            <w:pPr>
              <w:pStyle w:val="PO26"/>
              <w:numPr>
                <w:ilvl w:val="0"/>
                <w:numId w:val="0"/>
              </w:numPr>
              <w:jc w:val="both"/>
              <w:spacing w:lineRule="exact" w:line="380" w:before="0" w:after="160"/>
              <w:ind w:right="0" w:firstLine="0"/>
              <w:tabs>
                <w:tab w:val="left" w:pos="735"/>
                <w:tab w:val="left" w:pos="1395"/>
              </w:tabs>
              <w:rPr>
                <w:color w:val="000000"/>
                <w:position w:val="0"/>
                <w:sz w:val="24"/>
                <w:szCs w:val="24"/>
                <w:rFonts w:ascii="宋体" w:eastAsia="宋体" w:hAnsi="宋体" w:hint="default"/>
              </w:rPr>
              <w:autoSpaceDE w:val="1"/>
              <w:autoSpaceDN w:val="1"/>
            </w:pPr>
          </w:p>
          <w:p>
            <w:pPr>
              <w:pStyle w:val="PO26"/>
              <w:numPr>
                <w:ilvl w:val="0"/>
                <w:numId w:val="0"/>
              </w:numPr>
              <w:jc w:val="both"/>
              <w:spacing w:lineRule="exact" w:line="380" w:before="0" w:after="160"/>
              <w:ind w:right="0" w:firstLine="0"/>
              <w:tabs>
                <w:tab w:val="left" w:pos="735"/>
                <w:tab w:val="left" w:pos="1395"/>
              </w:tabs>
              <w:rPr>
                <w:color w:val="000000"/>
                <w:position w:val="0"/>
                <w:sz w:val="24"/>
                <w:szCs w:val="24"/>
                <w:rFonts w:ascii="宋体" w:eastAsia="宋体" w:hAnsi="宋体" w:hint="default"/>
              </w:rPr>
              <w:autoSpaceDE w:val="1"/>
              <w:autoSpaceDN w:val="1"/>
            </w:pPr>
            <w:r>
              <w:rPr>
                <w:color w:val="000000"/>
                <w:position w:val="0"/>
                <w:sz w:val="24"/>
                <w:szCs w:val="24"/>
                <w:rFonts w:ascii="宋体" w:eastAsia="宋体" w:hAnsi="宋体" w:hint="default"/>
              </w:rPr>
              <w:t>主要参考书及规范：</w:t>
            </w:r>
          </w:p>
          <w:p>
            <w:pPr>
              <w:pStyle w:val="PO26"/>
              <w:numPr>
                <w:ilvl w:val="0"/>
                <w:numId w:val="1"/>
              </w:numPr>
              <w:jc w:val="both"/>
              <w:spacing w:lineRule="exact" w:line="380" w:before="0" w:after="160"/>
              <w:ind w:right="0" w:firstLine="420"/>
              <w:tabs>
                <w:tab w:val="left" w:pos="735"/>
                <w:tab w:val="left" w:pos="1395"/>
              </w:tabs>
              <w:rPr>
                <w:color w:val="000000"/>
                <w:position w:val="0"/>
                <w:sz w:val="24"/>
                <w:szCs w:val="24"/>
                <w:rFonts w:ascii="宋体" w:eastAsia="宋体" w:hAnsi="宋体" w:hint="default"/>
              </w:rPr>
              <w:autoSpaceDE w:val="1"/>
              <w:autoSpaceDN w:val="1"/>
            </w:pPr>
            <w:r>
              <w:rPr>
                <w:color w:val="000000"/>
                <w:position w:val="0"/>
                <w:sz w:val="24"/>
                <w:szCs w:val="24"/>
                <w:rFonts w:ascii="宋体" w:eastAsia="宋体" w:hAnsi="宋体" w:hint="default"/>
              </w:rPr>
              <w:t xml:space="preserve">《桥梁工程》（第二版） 姚玲森  人民交通出版社</w:t>
            </w:r>
          </w:p>
          <w:p>
            <w:pPr>
              <w:pStyle w:val="PO26"/>
              <w:numPr>
                <w:ilvl w:val="0"/>
                <w:numId w:val="1"/>
              </w:numPr>
              <w:jc w:val="both"/>
              <w:spacing w:lineRule="exact" w:line="380" w:before="0" w:after="160"/>
              <w:ind w:right="0" w:firstLine="420"/>
              <w:tabs>
                <w:tab w:val="left" w:pos="735"/>
                <w:tab w:val="left" w:pos="1395"/>
              </w:tabs>
              <w:rPr>
                <w:color w:val="000000"/>
                <w:position w:val="0"/>
                <w:sz w:val="24"/>
                <w:szCs w:val="24"/>
                <w:rFonts w:ascii="宋体" w:eastAsia="宋体" w:hAnsi="宋体" w:hint="default"/>
              </w:rPr>
              <w:autoSpaceDE w:val="1"/>
              <w:autoSpaceDN w:val="1"/>
            </w:pPr>
            <w:r>
              <w:rPr>
                <w:color w:val="000000"/>
                <w:position w:val="0"/>
                <w:sz w:val="24"/>
                <w:szCs w:val="24"/>
                <w:rFonts w:ascii="宋体" w:eastAsia="宋体" w:hAnsi="宋体" w:hint="default"/>
              </w:rPr>
              <w:t xml:space="preserve">《公路桥涵设计通用规范》（JTG D60-2015） 人民交通出版社</w:t>
            </w:r>
          </w:p>
          <w:p>
            <w:pPr>
              <w:pStyle w:val="PO26"/>
              <w:numPr>
                <w:ilvl w:val="0"/>
                <w:numId w:val="0"/>
              </w:numPr>
              <w:jc w:val="both"/>
              <w:spacing w:lineRule="exact" w:line="380" w:before="0" w:after="160"/>
              <w:ind w:right="0" w:firstLine="0"/>
              <w:tabs>
                <w:tab w:val="left" w:pos="735"/>
                <w:tab w:val="left" w:pos="1395"/>
              </w:tabs>
              <w:rPr>
                <w:color w:val="000000"/>
                <w:position w:val="0"/>
                <w:sz w:val="24"/>
                <w:szCs w:val="24"/>
                <w:rFonts w:ascii="宋体" w:eastAsia="宋体" w:hAnsi="宋体" w:hint="default"/>
              </w:rPr>
              <w:autoSpaceDE w:val="1"/>
              <w:autoSpaceDN w:val="1"/>
            </w:pPr>
            <w:r>
              <w:rPr>
                <w:color w:val="000000"/>
                <w:position w:val="0"/>
                <w:sz w:val="24"/>
                <w:szCs w:val="24"/>
                <w:rFonts w:ascii="宋体" w:eastAsia="宋体" w:hAnsi="宋体" w:hint="default"/>
              </w:rPr>
              <w:t>辅助参考书</w:t>
            </w:r>
          </w:p>
          <w:p>
            <w:pPr>
              <w:pStyle w:val="PO26"/>
              <w:numPr>
                <w:ilvl w:val="0"/>
                <w:numId w:val="2"/>
              </w:numPr>
              <w:jc w:val="both"/>
              <w:spacing w:lineRule="exact" w:line="380" w:before="0" w:after="160"/>
              <w:ind w:right="0" w:firstLine="420"/>
              <w:tabs>
                <w:tab w:val="left" w:pos="735"/>
                <w:tab w:val="left" w:pos="1395"/>
              </w:tabs>
              <w:rPr>
                <w:color w:val="000000"/>
                <w:position w:val="0"/>
                <w:sz w:val="24"/>
                <w:szCs w:val="24"/>
                <w:rFonts w:ascii="宋体" w:eastAsia="宋体" w:hAnsi="宋体" w:hint="default"/>
              </w:rPr>
              <w:autoSpaceDE w:val="1"/>
              <w:autoSpaceDN w:val="1"/>
            </w:pPr>
            <w:r>
              <w:rPr>
                <w:color w:val="000000"/>
                <w:position w:val="0"/>
                <w:sz w:val="24"/>
                <w:szCs w:val="24"/>
                <w:rFonts w:ascii="宋体" w:eastAsia="宋体" w:hAnsi="宋体" w:hint="default"/>
              </w:rPr>
              <w:t xml:space="preserve">《桥梁工程》（第二版） 邵旭东  人民交通出版社</w:t>
            </w:r>
          </w:p>
          <w:p>
            <w:pPr>
              <w:pStyle w:val="PO26"/>
              <w:numPr>
                <w:ilvl w:val="0"/>
                <w:numId w:val="2"/>
              </w:numPr>
              <w:jc w:val="both"/>
              <w:spacing w:lineRule="exact" w:line="380" w:before="0" w:after="160"/>
              <w:ind w:right="0" w:firstLine="420"/>
              <w:tabs>
                <w:tab w:val="left" w:pos="735"/>
                <w:tab w:val="left" w:pos="1395"/>
              </w:tabs>
              <w:rPr>
                <w:color w:val="000000"/>
                <w:position w:val="0"/>
                <w:sz w:val="24"/>
                <w:szCs w:val="24"/>
                <w:rFonts w:ascii="宋体" w:eastAsia="宋体" w:hAnsi="宋体" w:hint="default"/>
              </w:rPr>
              <w:autoSpaceDE w:val="1"/>
              <w:autoSpaceDN w:val="1"/>
            </w:pPr>
            <w:r>
              <w:rPr>
                <w:color w:val="000000"/>
                <w:position w:val="0"/>
                <w:sz w:val="24"/>
                <w:szCs w:val="24"/>
                <w:rFonts w:ascii="宋体" w:eastAsia="宋体" w:hAnsi="宋体" w:hint="default"/>
              </w:rPr>
              <w:t xml:space="preserve">《桥梁工程》（第二版） 范立础  人民交通出版社</w:t>
            </w:r>
          </w:p>
        </w:tc>
      </w:tr>
      <w:tr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hidden w:val="0"/>
        </w:trPr>
        <w:tc>
          <w:tcPr>
            <w:tcW w:type="dxa" w:w="9180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top"/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160"/>
              <w:ind w:right="0" w:firstLine="0"/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autoSpaceDE w:val="1"/>
              <w:autoSpaceDN w:val="1"/>
            </w:pP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160"/>
              <w:ind w:right="0" w:firstLine="0"/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宋体" w:eastAsia="宋体" w:hAnsi="宋体" w:hint="default"/>
              </w:rPr>
              <w:t xml:space="preserve">考试总分：150分     考试时间：3小时    考试方式：笔试</w:t>
            </w:r>
          </w:p>
          <w:p>
            <w:pPr>
              <w:pStyle w:val="PO154"/>
              <w:numPr>
                <w:ilvl w:val="0"/>
                <w:numId w:val="0"/>
              </w:numPr>
              <w:jc w:val="both"/>
              <w:spacing w:lineRule="auto" w:line="240" w:before="0" w:after="160"/>
              <w:ind w:right="0" w:firstLine="0"/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t>考试题型：选择题（10分）、填空题（30分）、判断并改错题（20分）、名词解释</w:t>
            </w:r>
            <w:r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t>（15分）、简答题（40分）、计算题（35分）</w:t>
            </w:r>
          </w:p>
          <w:p>
            <w:pPr>
              <w:pStyle w:val="PO154"/>
              <w:numPr>
                <w:ilvl w:val="0"/>
                <w:numId w:val="0"/>
              </w:numPr>
              <w:jc w:val="both"/>
              <w:spacing w:lineRule="auto" w:line="240" w:before="0" w:after="160"/>
              <w:ind w:right="0" w:firstLine="1320"/>
              <w:rPr>
                <w:color w:val="auto"/>
                <w:position w:val="0"/>
                <w:sz w:val="24"/>
                <w:szCs w:val="24"/>
                <w:rFonts w:ascii="宋体" w:eastAsia="宋体" w:hAnsi="宋体" w:hint="default"/>
              </w:rPr>
              <w:autoSpaceDE w:val="1"/>
              <w:autoSpaceDN w:val="1"/>
            </w:pPr>
          </w:p>
        </w:tc>
      </w:tr>
    </w:tbl>
    <w:p>
      <w:pPr>
        <w:numPr>
          <w:ilvl w:val="0"/>
          <w:numId w:val="0"/>
        </w:numPr>
        <w:jc w:val="both"/>
        <w:spacing w:lineRule="auto" w:line="240" w:before="0" w:after="160"/>
        <w:ind w:right="0" w:firstLine="420"/>
        <w:rPr>
          <w:color w:val="auto"/>
          <w:position w:val="0"/>
          <w:sz w:val="21"/>
          <w:szCs w:val="21"/>
          <w:rFonts w:ascii="Times New Roman" w:eastAsia="Times New Roman" w:hAnsi="Times New Roman" w:hint="default"/>
        </w:rPr>
        <w:autoSpaceDE w:val="1"/>
        <w:autoSpaceDN w:val="1"/>
      </w:pPr>
    </w:p>
    <w:sectPr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1440" w:left="1800" w:bottom="1440" w:right="1800" w:header="851" w:footer="992" w:gutter="0"/>
      <w:pgNumType w:fmt="decimal"/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宋体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Calibri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Wingdings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Times New Roman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黑体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맑은 고딕">
    <w:panose1 w:val="020F0502020204030204"/>
    <w:charset w:val="0"/>
    <w:family w:val="mordern"/>
    <w:pitch w:val="variable"/>
    <w:sig w:usb0="A00002EF" w:usb1="4000207B" w:usb2="00000000" w:usb3="00000000" w:csb0="FFFFFFFF" w:csb1="00000000"/>
  </w:font>
</w:fonts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pi="http://schemas.microsoft.com/office/word/2010/wordprocessingInk">
  <w:p>
    <w:pPr>
      <w:pStyle w:val="PO152"/>
      <w:numPr>
        <w:ilvl w:val="0"/>
        <w:numId w:val="0"/>
      </w:numPr>
      <w:jc w:val="left"/>
      <w:spacing w:lineRule="auto" w:line="240" w:before="0" w:after="160"/>
      <w:ind w:right="0" w:firstLine="0"/>
      <w:tabs>
        <w:tab w:val="center" w:pos="4153"/>
        <w:tab w:val="right" w:pos="8306"/>
      </w:tabs>
      <w:rPr>
        <w:color w:val="auto"/>
        <w:position w:val="0"/>
        <w:sz w:val="18"/>
        <w:szCs w:val="18"/>
        <w:rFonts w:ascii="Times New Roman" w:eastAsia="Times New Roman" w:hAnsi="Times New Roman" w:hint="default"/>
      </w:rPr>
      <w:snapToGrid w:val="off"/>
      <w:autoSpaceDE w:val="1"/>
      <w:autoSpaceDN w:val="1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pi="http://schemas.microsoft.com/office/word/2010/wordprocessingInk">
  <w:p>
    <w:pPr>
      <w:pStyle w:val="PO152"/>
      <w:numPr>
        <w:ilvl w:val="0"/>
        <w:numId w:val="0"/>
      </w:numPr>
      <w:jc w:val="left"/>
      <w:spacing w:lineRule="auto" w:line="240" w:before="0" w:after="160"/>
      <w:ind w:right="0" w:firstLine="0"/>
      <w:tabs>
        <w:tab w:val="center" w:pos="4153"/>
        <w:tab w:val="right" w:pos="8306"/>
      </w:tabs>
      <w:rPr>
        <w:color w:val="auto"/>
        <w:position w:val="0"/>
        <w:sz w:val="18"/>
        <w:szCs w:val="18"/>
        <w:rFonts w:ascii="Times New Roman" w:eastAsia="Times New Roman" w:hAnsi="Times New Roman" w:hint="default"/>
      </w:rPr>
      <w:snapToGrid w:val="off"/>
      <w:autoSpaceDE w:val="1"/>
      <w:autoSpaceDN w:val="1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pi="http://schemas.microsoft.com/office/word/2010/wordprocessingInk">
  <w:p>
    <w:pPr>
      <w:pStyle w:val="PO152"/>
      <w:numPr>
        <w:ilvl w:val="0"/>
        <w:numId w:val="0"/>
      </w:numPr>
      <w:jc w:val="left"/>
      <w:spacing w:lineRule="auto" w:line="240" w:before="0" w:after="160"/>
      <w:ind w:right="0" w:firstLine="0"/>
      <w:tabs>
        <w:tab w:val="center" w:pos="4153"/>
        <w:tab w:val="right" w:pos="8306"/>
      </w:tabs>
      <w:rPr>
        <w:color w:val="auto"/>
        <w:position w:val="0"/>
        <w:sz w:val="18"/>
        <w:szCs w:val="18"/>
        <w:rFonts w:ascii="Times New Roman" w:eastAsia="Times New Roman" w:hAnsi="Times New Roman" w:hint="default"/>
      </w:rPr>
      <w:snapToGrid w:val="off"/>
      <w:autoSpaceDE w:val="1"/>
      <w:autoSpaceDN w:val="1"/>
    </w:pPr>
  </w:p>
</w:ft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pi="http://schemas.microsoft.com/office/word/2010/wordprocessingInk">
  <w:p>
    <w:pPr>
      <w:pStyle w:val="PO153"/>
      <w:numPr>
        <w:ilvl w:val="0"/>
        <w:numId w:val="0"/>
      </w:numPr>
      <w:jc w:val="center"/>
      <w:spacing w:lineRule="auto" w:line="240" w:before="0" w:after="160"/>
      <w:pBdr>
        <w:bottom w:val="single" w:sz="6" w:space="0" w:color="000000"/>
      </w:pBdr>
      <w:ind w:right="0" w:firstLine="0"/>
      <w:tabs>
        <w:tab w:val="center" w:pos="4153"/>
        <w:tab w:val="right" w:pos="8306"/>
      </w:tabs>
      <w:rPr>
        <w:color w:val="auto"/>
        <w:position w:val="0"/>
        <w:sz w:val="18"/>
        <w:szCs w:val="18"/>
        <w:rFonts w:ascii="Times New Roman" w:eastAsia="Times New Roman" w:hAnsi="Times New Roman" w:hint="default"/>
      </w:rPr>
      <w:snapToGrid w:val="off"/>
      <w:autoSpaceDE w:val="1"/>
      <w:autoSpaceDN w:val="1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pi="http://schemas.microsoft.com/office/word/2010/wordprocessingInk">
  <w:p>
    <w:pPr>
      <w:pStyle w:val="PO153"/>
      <w:numPr>
        <w:ilvl w:val="0"/>
        <w:numId w:val="0"/>
      </w:numPr>
      <w:jc w:val="center"/>
      <w:spacing w:lineRule="auto" w:line="240" w:before="0" w:after="160"/>
      <w:pBdr>
        <w:bottom w:val="single" w:sz="6" w:space="0" w:color="000000"/>
      </w:pBdr>
      <w:ind w:right="0" w:firstLine="0"/>
      <w:tabs>
        <w:tab w:val="center" w:pos="4153"/>
        <w:tab w:val="right" w:pos="8306"/>
      </w:tabs>
      <w:rPr>
        <w:color w:val="auto"/>
        <w:position w:val="0"/>
        <w:sz w:val="18"/>
        <w:szCs w:val="18"/>
        <w:rFonts w:ascii="Times New Roman" w:eastAsia="Times New Roman" w:hAnsi="Times New Roman" w:hint="default"/>
      </w:rPr>
      <w:snapToGrid w:val="off"/>
      <w:autoSpaceDE w:val="1"/>
      <w:autoSpaceDN w:val="1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pi="http://schemas.microsoft.com/office/word/2010/wordprocessingInk">
  <w:p>
    <w:pPr>
      <w:pStyle w:val="PO153"/>
      <w:numPr>
        <w:ilvl w:val="0"/>
        <w:numId w:val="0"/>
      </w:numPr>
      <w:jc w:val="center"/>
      <w:spacing w:lineRule="auto" w:line="240" w:before="0" w:after="160"/>
      <w:pBdr>
        <w:bottom w:val="single" w:sz="6" w:space="0" w:color="000000"/>
      </w:pBdr>
      <w:ind w:right="0" w:firstLine="0"/>
      <w:tabs>
        <w:tab w:val="center" w:pos="4153"/>
        <w:tab w:val="right" w:pos="8306"/>
      </w:tabs>
      <w:rPr>
        <w:color w:val="auto"/>
        <w:position w:val="0"/>
        <w:sz w:val="18"/>
        <w:szCs w:val="18"/>
        <w:rFonts w:ascii="Times New Roman" w:eastAsia="Times New Roman" w:hAnsi="Times New Roman" w:hint="default"/>
      </w:rPr>
      <w:snapToGrid w:val="off"/>
      <w:autoSpaceDE w:val="1"/>
      <w:autoSpaceDN w:val="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>
  <w:abstractNum w:abstractNumId="0">
    <w:multiLevelType w:val="hybridMultilevel"/>
    <w:nsid w:val="2F000000"/>
    <w:tmpl w:val="1F000014"/>
    <w:lvl w:ilvl="0">
      <w:lvlJc w:val="left"/>
      <w:numFmt w:val="decimal"/>
      <w:start w:val="1"/>
      <w:suff w:val="nothing"/>
      <w:lvlText w:val="%1、"/>
    </w:lvl>
    <w:lvl w:ilvl="1">
      <w:lvlJc w:val="left"/>
      <w:numFmt w:val="decimal"/>
      <w:start w:val="1"/>
      <w:suff w:val="nothing"/>
      <w:lvlText w:val="%1、"/>
    </w:lvl>
    <w:lvl w:ilvl="2">
      <w:lvlJc w:val="left"/>
      <w:numFmt w:val="decimal"/>
      <w:start w:val="1"/>
      <w:suff w:val="nothing"/>
      <w:lvlText w:val="%1、"/>
    </w:lvl>
    <w:lvl w:ilvl="3">
      <w:lvlJc w:val="left"/>
      <w:numFmt w:val="decimal"/>
      <w:start w:val="1"/>
      <w:suff w:val="nothing"/>
      <w:lvlText w:val="%1、"/>
    </w:lvl>
    <w:lvl w:ilvl="4">
      <w:lvlJc w:val="left"/>
      <w:numFmt w:val="decimal"/>
      <w:start w:val="1"/>
      <w:suff w:val="nothing"/>
      <w:lvlText w:val="%1、"/>
    </w:lvl>
    <w:lvl w:ilvl="5">
      <w:lvlJc w:val="left"/>
      <w:numFmt w:val="decimal"/>
      <w:start w:val="1"/>
      <w:suff w:val="nothing"/>
      <w:lvlText w:val="%1、"/>
    </w:lvl>
    <w:lvl w:ilvl="6">
      <w:lvlJc w:val="left"/>
      <w:numFmt w:val="decimal"/>
      <w:start w:val="1"/>
      <w:suff w:val="nothing"/>
      <w:lvlText w:val="%1、"/>
    </w:lvl>
    <w:lvl w:ilvl="7">
      <w:lvlJc w:val="left"/>
      <w:numFmt w:val="decimal"/>
      <w:start w:val="1"/>
      <w:suff w:val="nothing"/>
      <w:lvlText w:val="%1、"/>
    </w:lvl>
    <w:lvl w:ilvl="8">
      <w:lvlJc w:val="left"/>
      <w:numFmt w:val="decimal"/>
      <w:start w:val="1"/>
      <w:suff w:val="nothing"/>
      <w:lvlText w:val="%1、"/>
    </w:lvl>
  </w:abstractNum>
  <w:abstractNum w:abstractNumId="1">
    <w:multiLevelType w:val="hybridMultilevel"/>
    <w:nsid w:val="2F000001"/>
    <w:tmpl w:val="1F002411"/>
    <w:lvl w:ilvl="0">
      <w:lvlJc w:val="left"/>
      <w:numFmt w:val="decimal"/>
      <w:start w:val="1"/>
      <w:suff w:val="nothing"/>
      <w:lvlText w:val="%1、"/>
    </w:lvl>
    <w:lvl w:ilvl="1">
      <w:lvlJc w:val="left"/>
      <w:numFmt w:val="decimal"/>
      <w:start w:val="1"/>
      <w:suff w:val="nothing"/>
      <w:lvlText w:val="%1、"/>
    </w:lvl>
    <w:lvl w:ilvl="2">
      <w:lvlJc w:val="left"/>
      <w:numFmt w:val="decimal"/>
      <w:start w:val="1"/>
      <w:suff w:val="nothing"/>
      <w:lvlText w:val="%1、"/>
    </w:lvl>
    <w:lvl w:ilvl="3">
      <w:lvlJc w:val="left"/>
      <w:numFmt w:val="decimal"/>
      <w:start w:val="1"/>
      <w:suff w:val="nothing"/>
      <w:lvlText w:val="%1、"/>
    </w:lvl>
    <w:lvl w:ilvl="4">
      <w:lvlJc w:val="left"/>
      <w:numFmt w:val="decimal"/>
      <w:start w:val="1"/>
      <w:suff w:val="nothing"/>
      <w:lvlText w:val="%1、"/>
    </w:lvl>
    <w:lvl w:ilvl="5">
      <w:lvlJc w:val="left"/>
      <w:numFmt w:val="decimal"/>
      <w:start w:val="1"/>
      <w:suff w:val="nothing"/>
      <w:lvlText w:val="%1、"/>
    </w:lvl>
    <w:lvl w:ilvl="6">
      <w:lvlJc w:val="left"/>
      <w:numFmt w:val="decimal"/>
      <w:start w:val="1"/>
      <w:suff w:val="nothing"/>
      <w:lvlText w:val="%1、"/>
    </w:lvl>
    <w:lvl w:ilvl="7">
      <w:lvlJc w:val="left"/>
      <w:numFmt w:val="decimal"/>
      <w:start w:val="1"/>
      <w:suff w:val="nothing"/>
      <w:lvlText w:val="%1、"/>
    </w:lvl>
    <w:lvl w:ilvl="8">
      <w:lvlJc w:val="left"/>
      <w:numFmt w:val="decimal"/>
      <w:start w:val="1"/>
      <w:suff w:val="nothing"/>
      <w:lvlText w:val="%1、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avePreviewPicture/>
  <w:proofState w:spelling="clean" w:grammar="clean"/>
  <w:defaultTabStop w:val="420"/>
  <w:displayHorizontalDrawingGridEvery w:val="0"/>
  <w:displayVerticalDrawingGridEvery w:val="2"/>
  <w:characterSpacingControl w:val="compressPunctuation"/>
  <w:noLineBreaksAfter w:lang="ko-KR" w:val="$([{£¥·‘“〈《「『【〔〖〝﹙﹛﹝＄（．［｛￡￥"/>
  <w:noLineBreaksBefore w:lang="ko-KR" w:val="$([{£¥·‘“〈《「『【〔〖〝﹙﹛﹝＄（．［｛￡￥"/>
  <w:hdrShapeDefaults>
    <o:shapedefaults v:ext="edit" spidmax="2050"/>
    <o:shapelayout v:ext="edit">
      <o:idmap v:ext="edit" data="1"/>
    </o:shapelayout>
  </w:hdrShapeDefaults>
  <w:compat>
    <w:balanceSingleByteDoubleByteWidth/>
    <w:adjustLineHeightInTable/>
    <w:useFELayout/>
    <w:compatSetting w:name="compatibilityMode" w:uri="http://schemas.microsoft.com/office/word" w:val="14"/>
    <w:ulTrailSpace/>
  </w:compat>
  <m:mathPr>
    <m:mathFont m:value="Cambria Math"/>
    <m:brkBin m:value="before"/>
    <m:brkBinSub m:value="--"/>
    <m:smallFrac m:value="off"/>
    <m:dispDef/>
    <m:lMargin m:value="0"/>
    <m:rMargin m:value="0"/>
    <m:defJc m:value="centerGroup"/>
    <m:wrapIndent m:value="1440"/>
    <m:intLim m:value="subSup"/>
    <m:naryLim m:value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docDefaults>
    <w:rPrDefault>
      <w:rPr>
        <w:rFonts w:ascii="Calibri" w:eastAsia="Times New Roman" w:hAnsi="Calibri"/>
        <w:shd w:val="clear"/>
        <w:sz w:val="20"/>
        <w:szCs w:val="20"/>
        <w:w w:val="100"/>
      </w:rPr>
    </w:rPrDefault>
  </w:docDefaults>
  <w:style w:default="1" w:styleId="PO1" w:type="paragraph">
    <w:name w:val="Normal"/>
    <w:qFormat/>
    <w:uiPriority w:val="1"/>
    <w:pPr>
      <w:autoSpaceDE w:val="1"/>
      <w:autoSpaceDN w:val="1"/>
      <w:jc w:val="both"/>
      <w:wordWrap/>
    </w:pPr>
    <w:rPr>
      <w:rFonts w:ascii="Times New Roman" w:eastAsia="Times New Roman" w:hAnsi="Times New Roman"/>
      <w:shd w:val="clear"/>
      <w:sz w:val="21"/>
      <w:szCs w:val="21"/>
      <w:w w:val="100"/>
    </w:rPr>
  </w:style>
  <w:style w:default="1" w:styleId="PO2" w:type="character">
    <w:name w:val="Default Paragraph Font"/>
    <w:uiPriority w:val="2"/>
    <w:semiHidden/>
  </w:style>
  <w:style w:default="1" w:styleId="PO3" w:type="table">
    <w:name w:val="Normal Table"/>
    <w:qFormat/>
    <w:uiPriority w:val="3"/>
    <w:semiHidden/>
    <w:unhideWhenUsed/>
    <w:tblPr>
      <w:tblCellMar>
        <w:bottom w:type="dxa" w:w="0"/>
        <w:left w:type="dxa" w:w="108"/>
        <w:right w:type="dxa" w:w="108"/>
        <w:top w:type="dxa" w:w="0"/>
      </w:tblCellMar>
    </w:tblPr>
  </w:style>
  <w:style w:default="1" w:styleId="PO4" w:type="numbering">
    <w:name w:val="No List"/>
    <w:uiPriority w:val="4"/>
    <w:semiHidden/>
    <w:unhideWhenUsed/>
  </w:style>
  <w:style w:styleId="PO5" w:type="paragraph">
    <w:name w:val="No Spacing"/>
    <w:link w:val="PO-1"/>
    <w:qFormat/>
    <w:uiPriority w:val="5"/>
    <w:pPr>
      <w:jc w:val="both"/>
    </w:pPr>
    <w:rPr>
      <w:shd w:val="clear"/>
      <w:sz w:val="21"/>
      <w:szCs w:val="21"/>
      <w:w w:val="100"/>
    </w:rPr>
  </w:style>
  <w:style w:styleId="PO6" w:type="paragraph">
    <w:name w:val="Title"/>
    <w:link w:val="PO-1"/>
    <w:qFormat/>
    <w:uiPriority w:val="6"/>
    <w:pPr>
      <w:jc w:val="center"/>
    </w:pPr>
    <w:rPr>
      <w:b/>
      <w:shd w:val="clear"/>
      <w:sz w:val="32"/>
      <w:szCs w:val="32"/>
      <w:w w:val="100"/>
    </w:rPr>
  </w:style>
  <w:style w:styleId="PO7" w:type="paragraph">
    <w:name w:val="heading 1"/>
    <w:link w:val="PO-1"/>
    <w:qFormat/>
    <w:uiPriority w:val="7"/>
    <w:pPr>
      <w:jc w:val="both"/>
    </w:pPr>
    <w:rPr>
      <w:shd w:val="clear"/>
      <w:sz w:val="28"/>
      <w:szCs w:val="28"/>
      <w:w w:val="100"/>
    </w:rPr>
  </w:style>
  <w:style w:styleId="PO8" w:type="paragraph">
    <w:name w:val="heading 2"/>
    <w:link w:val="PO-1"/>
    <w:qFormat/>
    <w:uiPriority w:val="8"/>
    <w:pPr>
      <w:jc w:val="both"/>
    </w:pPr>
    <w:rPr>
      <w:shd w:val="clear"/>
      <w:sz w:val="21"/>
      <w:szCs w:val="21"/>
      <w:w w:val="100"/>
    </w:rPr>
  </w:style>
  <w:style w:styleId="PO9" w:type="paragraph">
    <w:name w:val="heading 3"/>
    <w:link w:val="PO-1"/>
    <w:qFormat/>
    <w:uiPriority w:val="9"/>
    <w:pPr>
      <w:ind w:left="1000" w:hanging="400"/>
      <w:jc w:val="both"/>
    </w:pPr>
    <w:rPr>
      <w:shd w:val="clear"/>
      <w:sz w:val="21"/>
      <w:szCs w:val="21"/>
      <w:w w:val="100"/>
    </w:rPr>
  </w:style>
  <w:style w:styleId="PO10" w:type="paragraph">
    <w:name w:val="heading 4"/>
    <w:link w:val="PO-1"/>
    <w:qFormat/>
    <w:uiPriority w:val="10"/>
    <w:pPr>
      <w:ind w:left="1200" w:hanging="400"/>
      <w:jc w:val="both"/>
    </w:pPr>
    <w:rPr>
      <w:b/>
      <w:shd w:val="clear"/>
      <w:sz w:val="21"/>
      <w:szCs w:val="21"/>
      <w:w w:val="100"/>
    </w:rPr>
  </w:style>
  <w:style w:styleId="PO11" w:type="paragraph">
    <w:name w:val="heading 5"/>
    <w:link w:val="PO-1"/>
    <w:qFormat/>
    <w:uiPriority w:val="11"/>
    <w:pPr>
      <w:ind w:left="1400" w:hanging="400"/>
      <w:jc w:val="both"/>
    </w:pPr>
    <w:rPr>
      <w:shd w:val="clear"/>
      <w:sz w:val="21"/>
      <w:szCs w:val="21"/>
      <w:w w:val="100"/>
    </w:rPr>
  </w:style>
  <w:style w:styleId="PO12" w:type="paragraph">
    <w:name w:val="heading 6"/>
    <w:link w:val="PO-1"/>
    <w:qFormat/>
    <w:uiPriority w:val="12"/>
    <w:pPr>
      <w:ind w:left="1600" w:hanging="400"/>
      <w:jc w:val="both"/>
    </w:pPr>
    <w:rPr>
      <w:b/>
      <w:shd w:val="clear"/>
      <w:sz w:val="21"/>
      <w:szCs w:val="21"/>
      <w:w w:val="100"/>
    </w:rPr>
  </w:style>
  <w:style w:styleId="PO13" w:type="paragraph">
    <w:name w:val="heading 7"/>
    <w:link w:val="PO-1"/>
    <w:qFormat/>
    <w:uiPriority w:val="13"/>
    <w:pPr>
      <w:ind w:left="1800" w:hanging="400"/>
      <w:jc w:val="both"/>
    </w:pPr>
    <w:rPr>
      <w:shd w:val="clear"/>
      <w:sz w:val="21"/>
      <w:szCs w:val="21"/>
      <w:w w:val="100"/>
    </w:rPr>
  </w:style>
  <w:style w:styleId="PO14" w:type="paragraph">
    <w:name w:val="heading 8"/>
    <w:link w:val="PO-1"/>
    <w:qFormat/>
    <w:uiPriority w:val="14"/>
    <w:pPr>
      <w:ind w:left="2000" w:hanging="400"/>
      <w:jc w:val="both"/>
    </w:pPr>
    <w:rPr>
      <w:shd w:val="clear"/>
      <w:sz w:val="21"/>
      <w:szCs w:val="21"/>
      <w:w w:val="100"/>
    </w:rPr>
  </w:style>
  <w:style w:styleId="PO15" w:type="paragraph">
    <w:name w:val="heading 9"/>
    <w:link w:val="PO-1"/>
    <w:qFormat/>
    <w:uiPriority w:val="15"/>
    <w:pPr>
      <w:ind w:left="2200" w:hanging="400"/>
      <w:jc w:val="both"/>
    </w:pPr>
    <w:rPr>
      <w:shd w:val="clear"/>
      <w:sz w:val="21"/>
      <w:szCs w:val="21"/>
      <w:w w:val="100"/>
    </w:rPr>
  </w:style>
  <w:style w:styleId="PO16" w:type="paragraph">
    <w:name w:val="Subtitle"/>
    <w:link w:val="PO-1"/>
    <w:qFormat/>
    <w:uiPriority w:val="16"/>
    <w:pPr>
      <w:jc w:val="center"/>
    </w:pPr>
    <w:rPr>
      <w:shd w:val="clear"/>
      <w:sz w:val="24"/>
      <w:szCs w:val="24"/>
      <w:w w:val="100"/>
    </w:rPr>
  </w:style>
  <w:style w:styleId="PO17" w:type="character">
    <w:name w:val="Subtle Emphasis"/>
    <w:qFormat/>
    <w:uiPriority w:val="17"/>
    <w:rPr>
      <w:color w:val="404040"/>
      <w:i/>
      <w:shd w:val="clear"/>
      <w:sz w:val="21"/>
      <w:szCs w:val="21"/>
      <w:w w:val="100"/>
    </w:rPr>
  </w:style>
  <w:style w:styleId="PO18" w:type="character">
    <w:name w:val="Emphasis"/>
    <w:qFormat/>
    <w:uiPriority w:val="18"/>
    <w:rPr>
      <w:i/>
      <w:shd w:val="clear"/>
      <w:sz w:val="21"/>
      <w:szCs w:val="21"/>
      <w:w w:val="100"/>
    </w:rPr>
  </w:style>
  <w:style w:styleId="PO19" w:type="character">
    <w:name w:val="Intense Emphasis"/>
    <w:qFormat/>
    <w:uiPriority w:val="19"/>
    <w:rPr>
      <w:color w:val="5B9BD5"/>
      <w:i/>
      <w:shd w:val="clear"/>
      <w:sz w:val="21"/>
      <w:szCs w:val="21"/>
      <w:w w:val="100"/>
    </w:rPr>
  </w:style>
  <w:style w:styleId="PO20" w:type="character">
    <w:name w:val="Strong"/>
    <w:qFormat/>
    <w:uiPriority w:val="20"/>
    <w:rPr>
      <w:b/>
      <w:shd w:val="clear"/>
      <w:sz w:val="21"/>
      <w:szCs w:val="21"/>
      <w:w w:val="100"/>
    </w:rPr>
  </w:style>
  <w:style w:styleId="PO21" w:type="paragraph">
    <w:name w:val="Quote"/>
    <w:link w:val="PO-1"/>
    <w:qFormat/>
    <w:uiPriority w:val="21"/>
    <w:pPr>
      <w:ind w:left="864" w:right="864" w:firstLine="0"/>
      <w:jc w:val="center"/>
    </w:pPr>
    <w:rPr>
      <w:color w:val="404040"/>
      <w:i/>
      <w:shd w:val="clear"/>
      <w:sz w:val="21"/>
      <w:szCs w:val="21"/>
      <w:w w:val="100"/>
    </w:rPr>
  </w:style>
  <w:style w:styleId="PO22" w:type="paragraph">
    <w:name w:val="Intense Quote"/>
    <w:link w:val="PO-1"/>
    <w:qFormat/>
    <w:uiPriority w:val="22"/>
    <w:pPr>
      <w:ind w:left="950" w:right="950" w:firstLine="0"/>
      <w:jc w:val="center"/>
    </w:pPr>
    <w:rPr>
      <w:color w:val="5B9BD5"/>
      <w:i/>
      <w:shd w:val="clear"/>
      <w:sz w:val="21"/>
      <w:szCs w:val="21"/>
      <w:w w:val="100"/>
    </w:rPr>
  </w:style>
  <w:style w:styleId="PO23" w:type="character">
    <w:name w:val="Subtle Reference"/>
    <w:qFormat/>
    <w:uiPriority w:val="23"/>
    <w:rPr>
      <w:color w:val="5A5A5A"/>
      <w:shd w:val="clear"/>
      <w:smallCaps/>
      <w:sz w:val="21"/>
      <w:szCs w:val="21"/>
      <w:w w:val="100"/>
    </w:rPr>
  </w:style>
  <w:style w:styleId="PO24" w:type="character">
    <w:name w:val="Intense Reference"/>
    <w:qFormat/>
    <w:uiPriority w:val="24"/>
    <w:rPr>
      <w:color w:val="5B9BD5"/>
      <w:b/>
      <w:shd w:val="clear"/>
      <w:smallCaps/>
      <w:sz w:val="21"/>
      <w:szCs w:val="21"/>
      <w:w w:val="100"/>
    </w:rPr>
  </w:style>
  <w:style w:styleId="PO25" w:type="character">
    <w:name w:val="Book Title"/>
    <w:qFormat/>
    <w:uiPriority w:val="25"/>
    <w:rPr>
      <w:i/>
      <w:b/>
      <w:shd w:val="clear"/>
      <w:sz w:val="21"/>
      <w:szCs w:val="21"/>
      <w:w w:val="100"/>
    </w:rPr>
  </w:style>
  <w:style w:styleId="PO26" w:type="paragraph">
    <w:name w:val="List Paragraph"/>
    <w:basedOn w:val="PO1"/>
    <w:qFormat/>
    <w:uiPriority w:val="26"/>
    <w:pPr>
      <w:autoSpaceDE w:val="1"/>
      <w:autoSpaceDN w:val="1"/>
      <w:ind w:firstLine="420"/>
      <w:widowControl/>
      <w:wordWrap/>
    </w:pPr>
  </w:style>
  <w:style w:styleId="PO27" w:type="paragraph">
    <w:name w:val="TOC Heading"/>
    <w:link w:val="PO-1"/>
    <w:qFormat/>
    <w:uiPriority w:val="27"/>
    <w:unhideWhenUsed/>
    <w:pPr/>
    <w:rPr>
      <w:color w:val="2E74B5"/>
      <w:shd w:val="clear"/>
      <w:sz w:val="32"/>
      <w:szCs w:val="32"/>
      <w:w w:val="100"/>
    </w:rPr>
  </w:style>
  <w:style w:styleId="PO28" w:type="paragraph">
    <w:name w:val="toc 1"/>
    <w:link w:val="PO-1"/>
    <w:qFormat/>
    <w:uiPriority w:val="28"/>
    <w:unhideWhenUsed/>
    <w:pPr>
      <w:jc w:val="both"/>
    </w:pPr>
    <w:rPr>
      <w:shd w:val="clear"/>
      <w:sz w:val="21"/>
      <w:szCs w:val="21"/>
      <w:w w:val="100"/>
    </w:rPr>
  </w:style>
  <w:style w:styleId="PO29" w:type="paragraph">
    <w:name w:val="toc 2"/>
    <w:link w:val="PO-1"/>
    <w:qFormat/>
    <w:uiPriority w:val="29"/>
    <w:unhideWhenUsed/>
    <w:pPr>
      <w:ind w:left="425" w:firstLine="0"/>
      <w:jc w:val="both"/>
    </w:pPr>
    <w:rPr>
      <w:shd w:val="clear"/>
      <w:sz w:val="21"/>
      <w:szCs w:val="21"/>
      <w:w w:val="100"/>
    </w:rPr>
  </w:style>
  <w:style w:styleId="PO30" w:type="paragraph">
    <w:name w:val="toc 3"/>
    <w:link w:val="PO-1"/>
    <w:qFormat/>
    <w:uiPriority w:val="30"/>
    <w:unhideWhenUsed/>
    <w:pPr>
      <w:ind w:left="850" w:firstLine="0"/>
      <w:jc w:val="both"/>
    </w:pPr>
    <w:rPr>
      <w:shd w:val="clear"/>
      <w:sz w:val="21"/>
      <w:szCs w:val="21"/>
      <w:w w:val="100"/>
    </w:rPr>
  </w:style>
  <w:style w:styleId="PO31" w:type="paragraph">
    <w:name w:val="toc 4"/>
    <w:link w:val="PO-1"/>
    <w:qFormat/>
    <w:uiPriority w:val="31"/>
    <w:unhideWhenUsed/>
    <w:pPr>
      <w:ind w:left="1275" w:firstLine="0"/>
      <w:jc w:val="both"/>
    </w:pPr>
    <w:rPr>
      <w:shd w:val="clear"/>
      <w:sz w:val="21"/>
      <w:szCs w:val="21"/>
      <w:w w:val="100"/>
    </w:rPr>
  </w:style>
  <w:style w:styleId="PO32" w:type="paragraph">
    <w:name w:val="toc 5"/>
    <w:link w:val="PO-1"/>
    <w:qFormat/>
    <w:uiPriority w:val="32"/>
    <w:unhideWhenUsed/>
    <w:pPr>
      <w:ind w:left="1700" w:firstLine="0"/>
      <w:jc w:val="both"/>
    </w:pPr>
    <w:rPr>
      <w:shd w:val="clear"/>
      <w:sz w:val="21"/>
      <w:szCs w:val="21"/>
      <w:w w:val="100"/>
    </w:rPr>
  </w:style>
  <w:style w:styleId="PO33" w:type="paragraph">
    <w:name w:val="toc 6"/>
    <w:link w:val="PO-1"/>
    <w:qFormat/>
    <w:uiPriority w:val="33"/>
    <w:unhideWhenUsed/>
    <w:pPr>
      <w:ind w:left="2125" w:firstLine="0"/>
      <w:jc w:val="both"/>
    </w:pPr>
    <w:rPr>
      <w:shd w:val="clear"/>
      <w:sz w:val="21"/>
      <w:szCs w:val="21"/>
      <w:w w:val="100"/>
    </w:rPr>
  </w:style>
  <w:style w:styleId="PO34" w:type="paragraph">
    <w:name w:val="toc 7"/>
    <w:link w:val="PO-1"/>
    <w:qFormat/>
    <w:uiPriority w:val="34"/>
    <w:unhideWhenUsed/>
    <w:pPr>
      <w:ind w:left="2550" w:firstLine="0"/>
      <w:jc w:val="both"/>
    </w:pPr>
    <w:rPr>
      <w:shd w:val="clear"/>
      <w:sz w:val="21"/>
      <w:szCs w:val="21"/>
      <w:w w:val="100"/>
    </w:rPr>
  </w:style>
  <w:style w:styleId="PO35" w:type="paragraph">
    <w:name w:val="toc 8"/>
    <w:link w:val="PO-1"/>
    <w:qFormat/>
    <w:uiPriority w:val="35"/>
    <w:unhideWhenUsed/>
    <w:pPr>
      <w:ind w:left="2975" w:firstLine="0"/>
      <w:jc w:val="both"/>
    </w:pPr>
    <w:rPr>
      <w:shd w:val="clear"/>
      <w:sz w:val="21"/>
      <w:szCs w:val="21"/>
      <w:w w:val="100"/>
    </w:rPr>
  </w:style>
  <w:style w:styleId="PO36" w:type="paragraph">
    <w:name w:val="toc 9"/>
    <w:link w:val="PO-1"/>
    <w:qFormat/>
    <w:uiPriority w:val="36"/>
    <w:unhideWhenUsed/>
    <w:pPr>
      <w:ind w:left="3400" w:firstLine="0"/>
      <w:jc w:val="both"/>
    </w:pPr>
    <w:rPr>
      <w:shd w:val="clear"/>
      <w:sz w:val="21"/>
      <w:szCs w:val="21"/>
      <w:w w:val="100"/>
    </w:rPr>
  </w:style>
  <w:style w:default="1" w:styleId="PO37" w:type="table">
    <w:name w:val="Normal Table"/>
    <w:basedOn w:val="PO3"/>
    <w:uiPriority w:val="37"/>
    <w:tblPr>
      <w:tblCellMar>
        <w:bottom w:type="dxa" w:w="0"/>
        <w:left w:type="dxa" w:w="108"/>
        <w:right w:type="dxa" w:w="108"/>
        <w:top w:type="dxa" w:w="0"/>
      </w:tblCellMar>
      <w:tblInd w:type="dxa" w:w="0"/>
    </w:tblPr>
  </w:style>
  <w:style w:styleId="PO152" w:type="paragraph">
    <w:name w:val="footer"/>
    <w:basedOn w:val="PO1"/>
    <w:link w:val="PO157"/>
    <w:qFormat/>
    <w:uiPriority w:val="152"/>
    <w:semiHidden/>
    <w:pPr>
      <w:autoSpaceDE w:val="1"/>
      <w:autoSpaceDN w:val="1"/>
      <w:tabs>
        <w:tab w:val="center" w:pos="4153"/>
        <w:tab w:val="right" w:pos="8306"/>
      </w:tabs>
      <w:widowControl/>
      <w:wordWrap/>
    </w:pPr>
    <w:rPr>
      <w:shd w:val="clear"/>
      <w:sz w:val="18"/>
      <w:szCs w:val="18"/>
      <w:w w:val="100"/>
    </w:rPr>
  </w:style>
  <w:style w:styleId="PO153" w:type="paragraph">
    <w:name w:val="header"/>
    <w:basedOn w:val="PO1"/>
    <w:link w:val="PO156"/>
    <w:qFormat/>
    <w:uiPriority w:val="153"/>
    <w:semiHidden/>
    <w:pPr>
      <w:autoSpaceDE w:val="1"/>
      <w:autoSpaceDN w:val="1"/>
      <w:jc w:val="center"/>
      <w:tabs>
        <w:tab w:val="center" w:pos="4153"/>
        <w:tab w:val="right" w:pos="8306"/>
      </w:tabs>
      <w:widowControl/>
      <w:wordWrap/>
    </w:pPr>
    <w:rPr>
      <w:shd w:val="clear"/>
      <w:sz w:val="18"/>
      <w:szCs w:val="18"/>
      <w:w w:val="100"/>
    </w:rPr>
  </w:style>
  <w:style w:styleId="PO154" w:type="paragraph">
    <w:name w:val="Body Text 2"/>
    <w:basedOn w:val="PO1"/>
    <w:link w:val="PO155"/>
    <w:uiPriority w:val="154"/>
    <w:rPr>
      <w:rFonts w:ascii="宋体" w:eastAsia="宋体" w:hAnsi="宋体"/>
      <w:shd w:val="clear"/>
      <w:sz w:val="24"/>
      <w:szCs w:val="24"/>
      <w:w w:val="100"/>
    </w:rPr>
  </w:style>
  <w:style w:customStyle="1" w:styleId="PO155" w:type="character">
    <w:name w:val="Body Text 2 Char"/>
    <w:basedOn w:val="PO2"/>
    <w:link w:val="PO154"/>
    <w:uiPriority w:val="155"/>
    <w:rPr>
      <w:rFonts w:ascii="宋体" w:eastAsia="Times New Roman" w:hAnsi="宋体"/>
      <w:shd w:val="clear"/>
      <w:sz w:val="20"/>
      <w:szCs w:val="20"/>
      <w:w w:val="100"/>
    </w:rPr>
  </w:style>
  <w:style w:customStyle="1" w:styleId="PO156" w:type="character">
    <w:name w:val="Header Char"/>
    <w:basedOn w:val="PO2"/>
    <w:link w:val="PO153"/>
    <w:qFormat/>
    <w:uiPriority w:val="156"/>
    <w:semiHidden/>
    <w:rPr>
      <w:rFonts w:ascii="Times New Roman" w:eastAsia="Times New Roman" w:hAnsi="Times New Roman"/>
      <w:shd w:val="clear"/>
      <w:sz w:val="18"/>
      <w:szCs w:val="18"/>
      <w:w w:val="100"/>
    </w:rPr>
  </w:style>
  <w:style w:customStyle="1" w:styleId="PO157" w:type="character">
    <w:name w:val="Footer Char"/>
    <w:basedOn w:val="PO2"/>
    <w:link w:val="PO152"/>
    <w:qFormat/>
    <w:uiPriority w:val="157"/>
    <w:semiHidden/>
    <w:rPr>
      <w:rFonts w:ascii="Times New Roman" w:eastAsia="Times New Roman" w:hAnsi="Times New Roman"/>
      <w:shd w:val="clear"/>
      <w:sz w:val="18"/>
      <w:szCs w:val="18"/>
      <w:w w:val="100"/>
    </w:rPr>
  </w:style>
  <w:style w:customStyle="1" w:styleId="PO158" w:type="paragraph">
    <w:name w:val="Default"/>
    <w:qFormat/>
    <w:uiPriority w:val="158"/>
    <w:pPr>
      <w:autoSpaceDE w:val="0"/>
      <w:autoSpaceDN w:val="0"/>
      <w:wordWrap/>
    </w:pPr>
    <w:rPr>
      <w:color w:val="000000"/>
      <w:rFonts w:ascii="宋体" w:eastAsia="宋体" w:hAnsi="宋体"/>
      <w:shd w:val="clear"/>
      <w:sz w:val="24"/>
      <w:szCs w:val="24"/>
      <w:w w:val="1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?>
<Relationships xmlns="http://schemas.openxmlformats.org/package/2006/relationships"><Relationship Id="rId1" Type="http://schemas.openxmlformats.org/officeDocument/2006/relationships/webSettings" Target="webSettings.xml"></Relationship><Relationship Id="rId2" Type="http://schemas.openxmlformats.org/officeDocument/2006/relationships/fontTable" Target="fontTable.xml"></Relationship><Relationship Id="rId3" Type="http://schemas.openxmlformats.org/officeDocument/2006/relationships/settings" Target="settings.xml"></Relationship><Relationship Id="rId4" Type="http://schemas.openxmlformats.org/officeDocument/2006/relationships/styles" Target="styles.xml"></Relationship><Relationship Id="rId5" Type="http://schemas.openxmlformats.org/officeDocument/2006/relationships/header" Target="header4.xml"></Relationship><Relationship Id="rId6" Type="http://schemas.openxmlformats.org/officeDocument/2006/relationships/header" Target="header3.xml"></Relationship><Relationship Id="rId7" Type="http://schemas.openxmlformats.org/officeDocument/2006/relationships/footer" Target="footer7.xml"></Relationship><Relationship Id="rId8" Type="http://schemas.openxmlformats.org/officeDocument/2006/relationships/footer" Target="footer6.xml"></Relationship><Relationship Id="rId9" Type="http://schemas.openxmlformats.org/officeDocument/2006/relationships/header" Target="header2.xml"></Relationship><Relationship Id="rId10" Type="http://schemas.openxmlformats.org/officeDocument/2006/relationships/footer" Target="footer5.xml"></Relationship><Relationship Id="rId11" Type="http://schemas.openxmlformats.org/officeDocument/2006/relationships/numbering" Target="numbering.xml"></Relationship><Relationship Id="rId12" Type="http://schemas.openxmlformats.org/officeDocument/2006/relationships/theme" Target="theme/theme1.xml"></Relationship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JisuOffice Write</Application>
  <AppVersion>12.000</AppVersion>
  <Characters>0</Characters>
  <CharactersWithSpaces>0</CharactersWithSpaces>
  <DocSecurity>0</DocSecurity>
  <HyperlinksChanged>false</HyperlinksChanged>
  <Lines>0</Lines>
  <LinksUpToDate>false</LinksUpToDate>
  <Pages>3</Pages>
  <Paragraphs>0</Paragraphs>
  <Words>137</Words>
  <TotalTime>0</TotalTime>
  <MMClips>0</MMClip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Title text</vt:lpstr>
    </vt:vector>
  </TitlesOfParts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</cp:revision>
  <dc:creator>Administrator</dc:creator>
  <cp:lastModifiedBy/>
  <dcterms:modified xsi:type="dcterms:W3CDTF">2018-09-10T14:31:13Z</dcterms:modified>
</cp:coreProperties>
</file>