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年研究生入学考试同等学历加试科目考试大纲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木材热解工艺学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木材热分解及其产物的形成过程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要求考生掌握木材热解的过程和产物</w:t>
            </w:r>
            <w:r>
              <w:t>.</w:t>
            </w:r>
            <w:bookmarkStart w:id="0" w:name="_GoBack"/>
            <w:bookmarkEnd w:id="0"/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要求考生理解木材及其主要组分的热分解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要求考生了解木材热解主要产物的形成过程</w:t>
            </w:r>
            <w:r>
              <w:t>.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木材热解条件对热解过程的影响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要求考生熟练掌握影响木材热解过程的因素</w:t>
            </w:r>
            <w:r>
              <w:t>.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要求考生了解木材在各种介质中的热分解。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木材热解工艺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要求考生理解木材和果壳的炭化过程与设备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要求考生熟练掌握木材、明子的干馏过程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/>
              </w:rPr>
              <w:t>要求学生掌握木炭的性质与用途</w:t>
            </w:r>
            <w:r>
              <w:t>.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活性炭的结构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性质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生产</w:t>
            </w:r>
          </w:p>
          <w:p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要求考生掌握活性炭的结构、化学组成和吸附性能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hint="eastAsia" w:cs="宋体"/>
              </w:rPr>
              <w:t>要求考生熟练掌握气体活化的基本理论、设备及工艺</w:t>
            </w:r>
            <w:r>
              <w:t>.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t>要求学生了解化学药品活化法生产活性炭的原料</w:t>
            </w:r>
            <w:r>
              <w:rPr>
                <w:rFonts w:hint="eastAsia"/>
              </w:rPr>
              <w:t>和</w:t>
            </w:r>
            <w:r>
              <w:t>工艺</w:t>
            </w:r>
          </w:p>
          <w:p>
            <w:pPr>
              <w:widowControl/>
              <w:ind w:left="779" w:leftChars="371"/>
              <w:jc w:val="left"/>
            </w:pPr>
          </w:p>
          <w:p>
            <w:pPr>
              <w:widowControl/>
              <w:jc w:val="left"/>
            </w:pPr>
            <w:r>
              <w:rPr>
                <w:rFonts w:hint="eastAsia" w:cs="宋体"/>
              </w:rPr>
              <w:t>五、</w:t>
            </w:r>
            <w:r>
              <w:t xml:space="preserve"> 活性炭的应用及再生</w:t>
            </w:r>
          </w:p>
          <w:p>
            <w:pPr>
              <w:widowControl/>
              <w:jc w:val="left"/>
            </w:pPr>
            <w:r>
              <w:t xml:space="preserve">     1.  </w:t>
            </w:r>
            <w:r>
              <w:rPr>
                <w:rFonts w:hint="eastAsia" w:cs="宋体"/>
              </w:rPr>
              <w:t>要求考生掌握活性炭在气相吸附、液相吸附、环境保护和催化等领域的应用</w:t>
            </w:r>
            <w:r>
              <w:t>.</w:t>
            </w:r>
          </w:p>
          <w:p>
            <w:pPr>
              <w:widowControl/>
              <w:jc w:val="left"/>
            </w:pPr>
            <w:r>
              <w:t xml:space="preserve">     2.  </w:t>
            </w:r>
            <w:r>
              <w:rPr>
                <w:rFonts w:hint="eastAsia" w:cs="宋体"/>
              </w:rPr>
              <w:t>要求考生了解活性炭的再生理论基础和方法</w:t>
            </w:r>
            <w:r>
              <w:t>.</w:t>
            </w:r>
          </w:p>
          <w:p/>
          <w:p>
            <w:pPr>
              <w:widowControl/>
              <w:jc w:val="left"/>
              <w:rPr>
                <w:rFonts w:hint="eastAsia"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参考书目：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cs="宋体"/>
              </w:rPr>
              <w:t>1. 黄</w:t>
            </w:r>
            <w:r>
              <w:rPr>
                <w:rFonts w:hint="eastAsia" w:cs="宋体"/>
                <w:sz w:val="21"/>
                <w:szCs w:val="21"/>
              </w:rPr>
              <w:t>率先. 木材热解工艺学.第二版. 中国林业出版社 1996.8</w:t>
            </w: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sz w:val="21"/>
                <w:szCs w:val="21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cs="宋体"/>
                <w:sz w:val="21"/>
                <w:szCs w:val="21"/>
              </w:rPr>
              <w:t>2. 国家林业局职业技能鉴定指导中心编. 木材热解与活性炭生产. 中国物资出版社 2003.4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填题（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选择题（2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/>
              </w:rPr>
            </w:pPr>
            <w:r>
              <w:rPr>
                <w:rFonts w:hAnsi="宋体"/>
              </w:rPr>
              <w:t>简答</w:t>
            </w:r>
            <w:r>
              <w:rPr>
                <w:rFonts w:hint="eastAsia" w:hAnsi="宋体"/>
              </w:rPr>
              <w:t>题（</w:t>
            </w:r>
            <w:r>
              <w:rPr>
                <w:rFonts w:hAnsi="宋体"/>
              </w:rPr>
              <w:t>30</w:t>
            </w:r>
            <w:r>
              <w:rPr>
                <w:rFonts w:hint="eastAsia" w:hAnsi="宋体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Ansi="宋体"/>
              </w:rPr>
              <w:t>论述题</w:t>
            </w:r>
            <w:r>
              <w:rPr>
                <w:rFonts w:hint="eastAsia" w:hAnsi="宋体"/>
              </w:rPr>
              <w:t>（</w:t>
            </w:r>
            <w:r>
              <w:rPr>
                <w:rFonts w:hAnsi="宋体"/>
              </w:rPr>
              <w:t>30分</w:t>
            </w:r>
            <w:r>
              <w:rPr>
                <w:rFonts w:hint="eastAsia" w:hAnsi="宋体"/>
              </w:rPr>
              <w:t>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6679"/>
    <w:rsid w:val="00097FF9"/>
    <w:rsid w:val="001948ED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8F3482"/>
    <w:rsid w:val="00967528"/>
    <w:rsid w:val="00BA0CF1"/>
    <w:rsid w:val="00C366B9"/>
    <w:rsid w:val="00CE0F51"/>
    <w:rsid w:val="00DA73ED"/>
    <w:rsid w:val="00F361E5"/>
    <w:rsid w:val="00F37416"/>
    <w:rsid w:val="00F96335"/>
    <w:rsid w:val="188D0E1C"/>
    <w:rsid w:val="47D4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93</Words>
  <Characters>534</Characters>
  <Lines>4</Lines>
  <Paragraphs>1</Paragraphs>
  <TotalTime>0</TotalTime>
  <ScaleCrop>false</ScaleCrop>
  <LinksUpToDate>false</LinksUpToDate>
  <CharactersWithSpaces>626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2018-09-07T07:27:00Z</dcterms:created>
  <dc:creator>Administrator</dc:creator>
  <cp:lastModifiedBy>yuanmd</cp:lastModifiedBy>
  <dcterms:modified xsi:type="dcterms:W3CDTF">2018-09-21T05:54:46Z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